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FD1" w:rsidRDefault="00342FD3" w:rsidP="006554AE">
      <w:pPr>
        <w:spacing w:after="283" w:line="250" w:lineRule="auto"/>
        <w:ind w:left="-5"/>
        <w:jc w:val="both"/>
      </w:pPr>
      <w:r>
        <w:rPr>
          <w:b/>
        </w:rPr>
        <w:t>INDEX DE L’EGALITE FEMMES-HOMMES : GARDNER AEROSPACE FRANCE OBTIENT UN SCORE DE 8</w:t>
      </w:r>
      <w:r w:rsidR="006554AE">
        <w:rPr>
          <w:b/>
        </w:rPr>
        <w:t>0</w:t>
      </w:r>
      <w:r>
        <w:rPr>
          <w:b/>
        </w:rPr>
        <w:t>/100</w:t>
      </w:r>
      <w:r>
        <w:t xml:space="preserve">   </w:t>
      </w:r>
    </w:p>
    <w:p w:rsidR="00241FD1" w:rsidRDefault="00342FD3" w:rsidP="006554AE">
      <w:pPr>
        <w:spacing w:after="295"/>
        <w:ind w:left="-5"/>
        <w:jc w:val="both"/>
      </w:pPr>
      <w:r>
        <w:t xml:space="preserve">La loi Française pour une liberté de choisir son avenir professionnel du 5 septembre 2018 fait de l’égalité salariale entre les hommes et les femmes une obligation de résultat pour les entreprises. Elle leur demande notamment de calculer chaque année leur index de l’égalité femmes-hommes, afin d’évaluer les différences de rémunération.  </w:t>
      </w:r>
    </w:p>
    <w:p w:rsidR="00241FD1" w:rsidRDefault="00342FD3" w:rsidP="006554AE">
      <w:pPr>
        <w:spacing w:after="293"/>
        <w:ind w:left="-5"/>
        <w:jc w:val="both"/>
      </w:pPr>
      <w:r>
        <w:rPr>
          <w:noProof/>
        </w:rPr>
        <w:drawing>
          <wp:anchor distT="0" distB="0" distL="114300" distR="114300" simplePos="0" relativeHeight="251658240" behindDoc="0" locked="0" layoutInCell="1" allowOverlap="0">
            <wp:simplePos x="0" y="0"/>
            <wp:positionH relativeFrom="page">
              <wp:posOffset>4681221</wp:posOffset>
            </wp:positionH>
            <wp:positionV relativeFrom="page">
              <wp:posOffset>270510</wp:posOffset>
            </wp:positionV>
            <wp:extent cx="2435795" cy="35623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435795" cy="3562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173736</wp:posOffset>
            </wp:positionH>
            <wp:positionV relativeFrom="page">
              <wp:posOffset>9590024</wp:posOffset>
            </wp:positionV>
            <wp:extent cx="6876288" cy="938784"/>
            <wp:effectExtent l="0" t="0" r="0" b="0"/>
            <wp:wrapTopAndBottom/>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a:blip r:embed="rId5"/>
                    <a:stretch>
                      <a:fillRect/>
                    </a:stretch>
                  </pic:blipFill>
                  <pic:spPr>
                    <a:xfrm>
                      <a:off x="0" y="0"/>
                      <a:ext cx="6876288" cy="938784"/>
                    </a:xfrm>
                    <a:prstGeom prst="rect">
                      <a:avLst/>
                    </a:prstGeom>
                  </pic:spPr>
                </pic:pic>
              </a:graphicData>
            </a:graphic>
          </wp:anchor>
        </w:drawing>
      </w:r>
      <w:r>
        <w:t xml:space="preserve">Sous la forme d’une note sur 100, cet index se compose de quatre indicateurs qui évaluent les inégalités entre les femmes et les hommes dans les entreprises : les écarts de rémunérations, les écarts de taux d’augmentations, la part des salariées augmentées au retour de leur congé maternité et enfin le nombre de femmes et d’hommes parmi les dix plus hauts salaires. </w:t>
      </w:r>
    </w:p>
    <w:p w:rsidR="00241FD1" w:rsidRDefault="00342FD3" w:rsidP="006554AE">
      <w:pPr>
        <w:spacing w:after="293"/>
        <w:ind w:left="-5"/>
        <w:jc w:val="both"/>
      </w:pPr>
      <w:r>
        <w:t>Gardner Aerospace soutient la démarche du gouvernement visant à promouvoir l’égalité femmes-hommes au sein de l’entreprise, et nous sommes fiers de publier l’index 202</w:t>
      </w:r>
      <w:r w:rsidR="00DE474E">
        <w:t>1</w:t>
      </w:r>
      <w:r>
        <w:t xml:space="preserve"> de Gardner Aerospace France (Gardner Aerospace Mazères) qui s’élève à 8</w:t>
      </w:r>
      <w:r w:rsidR="006554AE">
        <w:t>0</w:t>
      </w:r>
      <w:r>
        <w:t xml:space="preserve">/100. </w:t>
      </w:r>
    </w:p>
    <w:p w:rsidR="001856C8" w:rsidRDefault="00342FD3" w:rsidP="006554AE">
      <w:pPr>
        <w:ind w:left="-5"/>
        <w:jc w:val="both"/>
      </w:pPr>
      <w:r>
        <w:t xml:space="preserve">Gardner Aerospace est déterminé à poursuivre sa démarche d’amélioration continue et poursuit sa concertation avec ses partenaires sociaux avec pour ambition d’atteindre le score de 100/100. </w:t>
      </w:r>
    </w:p>
    <w:tbl>
      <w:tblPr>
        <w:tblW w:w="9215" w:type="dxa"/>
        <w:tblCellMar>
          <w:left w:w="70" w:type="dxa"/>
          <w:right w:w="70" w:type="dxa"/>
        </w:tblCellMar>
        <w:tblLook w:val="04A0" w:firstRow="1" w:lastRow="0" w:firstColumn="1" w:lastColumn="0" w:noHBand="0" w:noVBand="1"/>
      </w:tblPr>
      <w:tblGrid>
        <w:gridCol w:w="3148"/>
        <w:gridCol w:w="2633"/>
        <w:gridCol w:w="1717"/>
        <w:gridCol w:w="1717"/>
      </w:tblGrid>
      <w:tr w:rsidR="001856C8" w:rsidRPr="001856C8" w:rsidTr="00207FF5">
        <w:trPr>
          <w:trHeight w:val="562"/>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Indicateurs</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Remarques</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Points obtenus</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 xml:space="preserve">Points </w:t>
            </w:r>
            <w:r w:rsidR="00D3203C" w:rsidRPr="001856C8">
              <w:rPr>
                <w:rFonts w:eastAsia="Times New Roman"/>
                <w:sz w:val="22"/>
              </w:rPr>
              <w:t>maximum</w:t>
            </w:r>
          </w:p>
        </w:tc>
      </w:tr>
      <w:tr w:rsidR="001856C8" w:rsidRPr="001856C8" w:rsidTr="00207FF5">
        <w:trPr>
          <w:trHeight w:val="844"/>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 xml:space="preserve">Ecart de </w:t>
            </w:r>
            <w:r w:rsidR="00D3203C" w:rsidRPr="001856C8">
              <w:rPr>
                <w:rFonts w:eastAsia="Times New Roman"/>
                <w:sz w:val="22"/>
              </w:rPr>
              <w:t>rémunération</w:t>
            </w:r>
            <w:r w:rsidRPr="001856C8">
              <w:rPr>
                <w:rFonts w:eastAsia="Times New Roman"/>
                <w:sz w:val="22"/>
              </w:rPr>
              <w:t xml:space="preserve"> entre les femmes et les hommes</w:t>
            </w:r>
          </w:p>
        </w:tc>
        <w:tc>
          <w:tcPr>
            <w:tcW w:w="2633"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6,5% en faveur des hommes</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33</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40</w:t>
            </w:r>
          </w:p>
        </w:tc>
      </w:tr>
      <w:tr w:rsidR="001856C8" w:rsidRPr="001856C8" w:rsidTr="00207FF5">
        <w:trPr>
          <w:trHeight w:val="1125"/>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Ecarts de taux d'augmentation entre les femmes et les hommes</w:t>
            </w:r>
          </w:p>
        </w:tc>
        <w:tc>
          <w:tcPr>
            <w:tcW w:w="2633"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Mesure de correction mise en place</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35</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35</w:t>
            </w:r>
          </w:p>
        </w:tc>
      </w:tr>
      <w:tr w:rsidR="001856C8" w:rsidRPr="001856C8" w:rsidTr="00207FF5">
        <w:trPr>
          <w:trHeight w:val="1125"/>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 xml:space="preserve">Pourcentage de salariées </w:t>
            </w:r>
            <w:r w:rsidR="00D3203C" w:rsidRPr="001856C8">
              <w:rPr>
                <w:rFonts w:eastAsia="Times New Roman"/>
                <w:sz w:val="22"/>
              </w:rPr>
              <w:t>augmentées</w:t>
            </w:r>
            <w:r w:rsidRPr="001856C8">
              <w:rPr>
                <w:rFonts w:eastAsia="Times New Roman"/>
                <w:sz w:val="22"/>
              </w:rPr>
              <w:t xml:space="preserve"> après retour de congé maternité</w:t>
            </w:r>
          </w:p>
        </w:tc>
        <w:tc>
          <w:tcPr>
            <w:tcW w:w="2633"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 </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Indicateur non calculable</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15</w:t>
            </w:r>
          </w:p>
        </w:tc>
      </w:tr>
      <w:tr w:rsidR="001856C8" w:rsidRPr="001856C8" w:rsidTr="00207FF5">
        <w:trPr>
          <w:trHeight w:val="844"/>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 xml:space="preserve">Nombre de femmes parmi les 10 plus hautes </w:t>
            </w:r>
            <w:r w:rsidR="00D3203C" w:rsidRPr="001856C8">
              <w:rPr>
                <w:rFonts w:eastAsia="Times New Roman"/>
                <w:sz w:val="22"/>
              </w:rPr>
              <w:t>rémunérations</w:t>
            </w:r>
          </w:p>
        </w:tc>
        <w:tc>
          <w:tcPr>
            <w:tcW w:w="2633"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rPr>
                <w:rFonts w:eastAsia="Times New Roman"/>
                <w:sz w:val="22"/>
              </w:rPr>
            </w:pPr>
            <w:r w:rsidRPr="001856C8">
              <w:rPr>
                <w:rFonts w:eastAsia="Times New Roman"/>
                <w:sz w:val="22"/>
              </w:rPr>
              <w:t>Les hommes sont sur représentés</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0</w:t>
            </w:r>
          </w:p>
        </w:tc>
        <w:tc>
          <w:tcPr>
            <w:tcW w:w="1717" w:type="dxa"/>
            <w:tcBorders>
              <w:top w:val="nil"/>
              <w:left w:val="nil"/>
              <w:bottom w:val="single" w:sz="4" w:space="0" w:color="auto"/>
              <w:right w:val="single" w:sz="4" w:space="0" w:color="auto"/>
            </w:tcBorders>
            <w:shd w:val="clear" w:color="auto" w:fill="auto"/>
            <w:vAlign w:val="center"/>
            <w:hideMark/>
          </w:tcPr>
          <w:p w:rsidR="001856C8" w:rsidRPr="001856C8" w:rsidRDefault="001856C8" w:rsidP="001856C8">
            <w:pPr>
              <w:spacing w:after="0"/>
              <w:ind w:left="0" w:firstLine="0"/>
              <w:jc w:val="center"/>
              <w:rPr>
                <w:rFonts w:eastAsia="Times New Roman"/>
                <w:sz w:val="22"/>
              </w:rPr>
            </w:pPr>
            <w:r w:rsidRPr="001856C8">
              <w:rPr>
                <w:rFonts w:eastAsia="Times New Roman"/>
                <w:sz w:val="22"/>
              </w:rPr>
              <w:t>10</w:t>
            </w:r>
          </w:p>
        </w:tc>
      </w:tr>
    </w:tbl>
    <w:p w:rsidR="001856C8" w:rsidRDefault="001856C8" w:rsidP="006554AE">
      <w:pPr>
        <w:ind w:left="-5"/>
        <w:jc w:val="both"/>
      </w:pPr>
    </w:p>
    <w:p w:rsidR="00241FD1" w:rsidRDefault="00342FD3" w:rsidP="006554AE">
      <w:pPr>
        <w:ind w:left="-5"/>
        <w:jc w:val="both"/>
      </w:pPr>
      <w:r>
        <w:br w:type="page"/>
      </w:r>
    </w:p>
    <w:p w:rsidR="00241FD1" w:rsidRDefault="00342FD3">
      <w:pPr>
        <w:spacing w:after="231" w:line="250" w:lineRule="auto"/>
        <w:ind w:left="-5"/>
      </w:pPr>
      <w:r>
        <w:rPr>
          <w:b/>
        </w:rPr>
        <w:lastRenderedPageBreak/>
        <w:t>GENDER EQUALITY INDEX: GARDNER AEROSPACE FRANCE GETS A SCORE OF 8</w:t>
      </w:r>
      <w:r w:rsidR="00207FF5">
        <w:rPr>
          <w:b/>
        </w:rPr>
        <w:t>0</w:t>
      </w:r>
      <w:r>
        <w:rPr>
          <w:b/>
        </w:rPr>
        <w:t xml:space="preserve">/100 </w:t>
      </w:r>
    </w:p>
    <w:p w:rsidR="00241FD1" w:rsidRDefault="00342FD3" w:rsidP="006554AE">
      <w:pPr>
        <w:ind w:left="-5"/>
        <w:jc w:val="both"/>
      </w:pPr>
      <w:r>
        <w:t xml:space="preserve">The French law for freedom of choice (5th September 2018) made gender equality of wages an obligation for companies.  Gender equality information is requested from companies annually to estimate payment gaps. </w:t>
      </w:r>
    </w:p>
    <w:p w:rsidR="00241FD1" w:rsidRDefault="00342FD3" w:rsidP="006554AE">
      <w:pPr>
        <w:ind w:left="-5"/>
        <w:jc w:val="both"/>
      </w:pPr>
      <w:r>
        <w:rPr>
          <w:noProof/>
        </w:rPr>
        <w:drawing>
          <wp:anchor distT="0" distB="0" distL="114300" distR="114300" simplePos="0" relativeHeight="251661312" behindDoc="0" locked="0" layoutInCell="1" allowOverlap="0">
            <wp:simplePos x="0" y="0"/>
            <wp:positionH relativeFrom="page">
              <wp:posOffset>4681221</wp:posOffset>
            </wp:positionH>
            <wp:positionV relativeFrom="page">
              <wp:posOffset>270510</wp:posOffset>
            </wp:positionV>
            <wp:extent cx="2435795" cy="356235"/>
            <wp:effectExtent l="0" t="0" r="0" b="0"/>
            <wp:wrapTopAndBottom/>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4"/>
                    <a:stretch>
                      <a:fillRect/>
                    </a:stretch>
                  </pic:blipFill>
                  <pic:spPr>
                    <a:xfrm>
                      <a:off x="0" y="0"/>
                      <a:ext cx="2435795" cy="35623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173736</wp:posOffset>
            </wp:positionH>
            <wp:positionV relativeFrom="page">
              <wp:posOffset>9590024</wp:posOffset>
            </wp:positionV>
            <wp:extent cx="6876288" cy="938784"/>
            <wp:effectExtent l="0" t="0" r="0" b="0"/>
            <wp:wrapTopAndBottom/>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5"/>
                    <a:stretch>
                      <a:fillRect/>
                    </a:stretch>
                  </pic:blipFill>
                  <pic:spPr>
                    <a:xfrm>
                      <a:off x="0" y="0"/>
                      <a:ext cx="6876288" cy="938784"/>
                    </a:xfrm>
                    <a:prstGeom prst="rect">
                      <a:avLst/>
                    </a:prstGeom>
                  </pic:spPr>
                </pic:pic>
              </a:graphicData>
            </a:graphic>
          </wp:anchor>
        </w:drawing>
      </w:r>
      <w:r>
        <w:t xml:space="preserve">Presented as a score out of 100, the index is made up of four indicators which gauge inequality between men and women in French companies : differences of pay, differences of pay increase rate, female employees who have received a pay rise when returning from maternity leave and the number of men and women among the 10 biggest earners. </w:t>
      </w:r>
    </w:p>
    <w:p w:rsidR="00241FD1" w:rsidRDefault="00342FD3" w:rsidP="006554AE">
      <w:pPr>
        <w:ind w:left="-5"/>
        <w:jc w:val="both"/>
      </w:pPr>
      <w:r>
        <w:t>Gardner Aerospace supports the government’s approach to promote gender equality in companies and is proud to publish the 202</w:t>
      </w:r>
      <w:r w:rsidR="00DE474E">
        <w:t>1</w:t>
      </w:r>
      <w:bookmarkStart w:id="0" w:name="_GoBack"/>
      <w:bookmarkEnd w:id="0"/>
      <w:r>
        <w:t xml:space="preserve"> index from Gardner Aerospace France (Gardner Aerospace Mazères) which attained 8</w:t>
      </w:r>
      <w:r w:rsidR="00207FF5">
        <w:t>0</w:t>
      </w:r>
      <w:r>
        <w:t xml:space="preserve">/100.  </w:t>
      </w:r>
    </w:p>
    <w:p w:rsidR="00241FD1" w:rsidRDefault="00342FD3" w:rsidP="006554AE">
      <w:pPr>
        <w:spacing w:after="35"/>
        <w:ind w:left="-5"/>
        <w:jc w:val="both"/>
      </w:pPr>
      <w:r>
        <w:t xml:space="preserve">Gardner Aerospace will work in tandem with its social partners to move closer to a perfect score of 100/100. </w:t>
      </w:r>
    </w:p>
    <w:p w:rsidR="00241FD1" w:rsidRDefault="00342FD3">
      <w:pPr>
        <w:spacing w:after="0" w:line="259" w:lineRule="auto"/>
        <w:ind w:left="0" w:firstLine="0"/>
      </w:pPr>
      <w:r>
        <w:t xml:space="preserve"> </w:t>
      </w:r>
    </w:p>
    <w:tbl>
      <w:tblPr>
        <w:tblW w:w="9247" w:type="dxa"/>
        <w:tblCellMar>
          <w:left w:w="70" w:type="dxa"/>
          <w:right w:w="70" w:type="dxa"/>
        </w:tblCellMar>
        <w:tblLook w:val="04A0" w:firstRow="1" w:lastRow="0" w:firstColumn="1" w:lastColumn="0" w:noHBand="0" w:noVBand="1"/>
      </w:tblPr>
      <w:tblGrid>
        <w:gridCol w:w="3159"/>
        <w:gridCol w:w="2642"/>
        <w:gridCol w:w="1723"/>
        <w:gridCol w:w="1723"/>
      </w:tblGrid>
      <w:tr w:rsidR="00207FF5" w:rsidRPr="00207FF5" w:rsidTr="00207FF5">
        <w:trPr>
          <w:trHeight w:val="723"/>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Indicators</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Comments</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Result achievied</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Maximum score</w:t>
            </w:r>
          </w:p>
        </w:tc>
      </w:tr>
      <w:tr w:rsidR="00207FF5" w:rsidRPr="00207FF5" w:rsidTr="00207FF5">
        <w:trPr>
          <w:trHeight w:val="723"/>
        </w:trPr>
        <w:tc>
          <w:tcPr>
            <w:tcW w:w="3159" w:type="dxa"/>
            <w:tcBorders>
              <w:top w:val="nil"/>
              <w:left w:val="single" w:sz="4" w:space="0" w:color="auto"/>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Gender wage gap</w:t>
            </w:r>
          </w:p>
        </w:tc>
        <w:tc>
          <w:tcPr>
            <w:tcW w:w="2642"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6,5% in favor of males</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33</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40</w:t>
            </w:r>
          </w:p>
        </w:tc>
      </w:tr>
      <w:tr w:rsidR="00207FF5" w:rsidRPr="00207FF5" w:rsidTr="00207FF5">
        <w:trPr>
          <w:trHeight w:val="1085"/>
        </w:trPr>
        <w:tc>
          <w:tcPr>
            <w:tcW w:w="3159" w:type="dxa"/>
            <w:tcBorders>
              <w:top w:val="nil"/>
              <w:left w:val="single" w:sz="4" w:space="0" w:color="auto"/>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Gender gap in remuneration increase</w:t>
            </w:r>
          </w:p>
        </w:tc>
        <w:tc>
          <w:tcPr>
            <w:tcW w:w="2642"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Impact corrective actions</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35</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35</w:t>
            </w:r>
          </w:p>
        </w:tc>
      </w:tr>
      <w:tr w:rsidR="00207FF5" w:rsidRPr="00207FF5" w:rsidTr="00207FF5">
        <w:trPr>
          <w:trHeight w:val="1446"/>
        </w:trPr>
        <w:tc>
          <w:tcPr>
            <w:tcW w:w="3159" w:type="dxa"/>
            <w:tcBorders>
              <w:top w:val="nil"/>
              <w:left w:val="single" w:sz="4" w:space="0" w:color="auto"/>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Percentage of women whose pay increased after returning from maternity</w:t>
            </w:r>
          </w:p>
        </w:tc>
        <w:tc>
          <w:tcPr>
            <w:tcW w:w="2642"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 </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Not calculable</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15</w:t>
            </w:r>
          </w:p>
        </w:tc>
      </w:tr>
      <w:tr w:rsidR="00207FF5" w:rsidRPr="00207FF5" w:rsidTr="00207FF5">
        <w:trPr>
          <w:trHeight w:val="1085"/>
        </w:trPr>
        <w:tc>
          <w:tcPr>
            <w:tcW w:w="3159" w:type="dxa"/>
            <w:tcBorders>
              <w:top w:val="nil"/>
              <w:left w:val="single" w:sz="4" w:space="0" w:color="auto"/>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Number of women among the 10 highest remuneration</w:t>
            </w:r>
          </w:p>
        </w:tc>
        <w:tc>
          <w:tcPr>
            <w:tcW w:w="2642"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rPr>
                <w:rFonts w:eastAsia="Times New Roman"/>
                <w:sz w:val="22"/>
              </w:rPr>
            </w:pPr>
            <w:r w:rsidRPr="00207FF5">
              <w:rPr>
                <w:rFonts w:eastAsia="Times New Roman"/>
                <w:sz w:val="22"/>
              </w:rPr>
              <w:t>Men are over represented</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0</w:t>
            </w:r>
          </w:p>
        </w:tc>
        <w:tc>
          <w:tcPr>
            <w:tcW w:w="1723" w:type="dxa"/>
            <w:tcBorders>
              <w:top w:val="nil"/>
              <w:left w:val="nil"/>
              <w:bottom w:val="single" w:sz="4" w:space="0" w:color="auto"/>
              <w:right w:val="single" w:sz="4" w:space="0" w:color="auto"/>
            </w:tcBorders>
            <w:shd w:val="clear" w:color="auto" w:fill="auto"/>
            <w:vAlign w:val="center"/>
            <w:hideMark/>
          </w:tcPr>
          <w:p w:rsidR="00207FF5" w:rsidRPr="00207FF5" w:rsidRDefault="00207FF5" w:rsidP="00207FF5">
            <w:pPr>
              <w:spacing w:after="0"/>
              <w:ind w:left="0" w:firstLine="0"/>
              <w:jc w:val="center"/>
              <w:rPr>
                <w:rFonts w:eastAsia="Times New Roman"/>
                <w:sz w:val="22"/>
              </w:rPr>
            </w:pPr>
            <w:r w:rsidRPr="00207FF5">
              <w:rPr>
                <w:rFonts w:eastAsia="Times New Roman"/>
                <w:sz w:val="22"/>
              </w:rPr>
              <w:t>10</w:t>
            </w:r>
          </w:p>
        </w:tc>
      </w:tr>
    </w:tbl>
    <w:p w:rsidR="00241FD1" w:rsidRDefault="00241FD1">
      <w:pPr>
        <w:spacing w:after="0" w:line="259" w:lineRule="auto"/>
        <w:ind w:left="0" w:firstLine="0"/>
      </w:pPr>
    </w:p>
    <w:sectPr w:rsidR="00241FD1" w:rsidSect="00207FF5">
      <w:pgSz w:w="11906" w:h="16838"/>
      <w:pgMar w:top="1483" w:right="1461" w:bottom="1843"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1"/>
    <w:rsid w:val="001856C8"/>
    <w:rsid w:val="00207FF5"/>
    <w:rsid w:val="00241FD1"/>
    <w:rsid w:val="00342FD3"/>
    <w:rsid w:val="006554AE"/>
    <w:rsid w:val="00D3203C"/>
    <w:rsid w:val="00DE4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AB83"/>
  <w15:docId w15:val="{98B0113B-3EE6-4560-AFFE-9DA61E7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40" w:lineRule="auto"/>
      <w:ind w:left="10" w:hanging="10"/>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686">
      <w:bodyDiv w:val="1"/>
      <w:marLeft w:val="0"/>
      <w:marRight w:val="0"/>
      <w:marTop w:val="0"/>
      <w:marBottom w:val="0"/>
      <w:divBdr>
        <w:top w:val="none" w:sz="0" w:space="0" w:color="auto"/>
        <w:left w:val="none" w:sz="0" w:space="0" w:color="auto"/>
        <w:bottom w:val="none" w:sz="0" w:space="0" w:color="auto"/>
        <w:right w:val="none" w:sz="0" w:space="0" w:color="auto"/>
      </w:divBdr>
    </w:div>
    <w:div w:id="1173375557">
      <w:bodyDiv w:val="1"/>
      <w:marLeft w:val="0"/>
      <w:marRight w:val="0"/>
      <w:marTop w:val="0"/>
      <w:marBottom w:val="0"/>
      <w:divBdr>
        <w:top w:val="none" w:sz="0" w:space="0" w:color="auto"/>
        <w:left w:val="none" w:sz="0" w:space="0" w:color="auto"/>
        <w:bottom w:val="none" w:sz="0" w:space="0" w:color="auto"/>
        <w:right w:val="none" w:sz="0" w:space="0" w:color="auto"/>
      </w:divBdr>
    </w:div>
    <w:div w:id="181903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Darkcat</dc:creator>
  <cp:keywords/>
  <cp:lastModifiedBy>TECHER David</cp:lastModifiedBy>
  <cp:revision>4</cp:revision>
  <dcterms:created xsi:type="dcterms:W3CDTF">2022-02-23T15:46:00Z</dcterms:created>
  <dcterms:modified xsi:type="dcterms:W3CDTF">2022-02-28T07:32:00Z</dcterms:modified>
</cp:coreProperties>
</file>